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Согласно подпункту 4 пункта 1 статьи 333.37 Налогового кодекса Российской Федерации должник освобожден от уплаты государственной пошлины по делам, рассматриваемым Верховным Судом Российской Федерации.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ФИО1 срок подачи кассационной жалобы на постановление Пятнадцатого арбитражного апелляционного суда от 20 марта 2024 г. и постановление Арбитражного суда Северо-Кавказского округа от 10 июня 2024г. по делу № А32-26835/2021 Арбитражного суда Краснодарского края. Судья Верховного Суда Российской Федерации О.Ю. Шилохвост Суд: Верховный Суд РФ (подробнее) Истцы: МИФНС №18 ПО КК (подробнее) ООО "Научно-технологический парк "Университет" КГУ" (подробнее) ПАО Сбербанк (подробнее) ПАО "Транскапиталбанк" (подробнее) Иные лица: АССОЦИАЦИЯ "НАЦИОНАЛЬНАЯ ОРГАНИЗАЦИЯ АРБИТРАЖНЫХ УПРАВЛЯЮЩИХ" (подробнее) ФГБОУ ВО "КубГУ" (подробнее) Судьи дела: Шилохвост О.Ю.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