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14 ноября 2024 г.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5 августа 2024 г., срок на обжалование которого истек 7 октября 2024 г. Обратившись с кассационной жалобой 14 ноября 2024 г.,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устранение недостатков, послуживших основанием для возврата первоначально поданной кассационной жалобы.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Первоначально поданная обществом кассационная жалоба возвращена заявителю без рассмотрения по существу на основании пункта 1 части 1 статьи 2915 АПК РФ, поскольку в нарушение пункта 2 части 5 статьи 2913 АПК РФ к жалобе не приложены документы, подтверждающие уплату государственной пошлины в установленном размере и порядке. Обращаясь повторно 14 ноября 2024 г. с аналогичной кассационной жалобой, обществом приложено платежное поручение об уплате государственной пошлины от 24 октября 2024 г. № 650, то есть ее уплата состоялась за пределами установленного срока. Повторное обращение с кассационной жалобой после устранения недостатков, послуживших основанием к возврату кассационной жалобы, не может быть признано уважительной причиной несвоевременного обращения с кассационной жалобой, поскольку соблюдение требований АПК РФ, определяющих порядок обжалования судебных актов, является обязанностью лица, подающего жалобу.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Подача кассационной жалобы после устранения причин несоблюдения порядка обращения не прерывает срок для подачи жалобы и не может служить уважительной причиной его пропуска. Надлежащая подача кассационной жалобы находится в компетенции заявителя, и зависит только от его волеизъявления. 3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«Полигон твердых бытовых отходов» в удовлетворении ходатайства о восстановлении пропущенного процессуального срока. Кассационную жалобу на постановление Арбитражного суда Московского округа от 5 августа 2024 г. по делу № А40-216405/2023 Арбитражного суда города Москвы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