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Рустамова Э.Ф.о в Арбитражный суд Московской области поступило ходатайство финансового управляющего об истребовании у должника автомобилей и обязании должника передать транспортные средства, ключи и документы от них финансовому управляющему. Определением Арбитражного суда Московской области от 15 апреля 2024 г. в удовлетворении заявления отказано. Постановлением Десятого арбитражного апелляционного суда от 13 июня 2024 г. определение суда первой инстанции отменено в обжалуемой части, суд истребовал у должника и обязал его передать финансовому управляющему транспортное средство Hyundai АФ-474330, правоустанавливающие документы и ключи к транспортному средству. Постановлением Арбитражного суда Московского округа от 9 сентября 2024 г. постановление суда апелляционной инстанции оставлено без изменения. 2 Рустамов Э.Ф.о и Рустамова А.А. обратились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Доводы кассационной жалобы не подтверждают наличие оснований, предусмотренных статьями 291.6, 291.11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