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Гафаровой А.Р. в Арбитражный суд Республики Башкортостан обратилось ОАО «АФ Банк» с заявлением о включении в реестр требований кредиторов должника задолженности в сумме 13 555 411 рублей 16 копеек. Определением Арбитражного суда Республики Башкортостан от 6 декабря 2022 г., оставленным без изменения постановлением Восемнадцатого арбитражного апелляционного суда от 16 февраля 2023 г., заявление банка удовлетворено. Постановлением Арбитражного суда Уральского округа от 30 мая 2023 г. судебные акты отменены, обособленный спор направлен на новое рассмотрение в Арбитражный суд Республики Башкортостан. При новом рассмотрении спора определением Арбитражного суда Республики Башкортостан от 10 августа 2023 г. требования банка удовлетворены частично, признано обоснованным и включено в третью очередь реестра требований кредиторов должника требование в размере 2 168 658 рублей 73 копеек, в удовлетворении требований в остальной части отказано. Постановлением Восемнадцатого арбитражного апелляционного суда от 8 апреля 2024 г. определение суда первой инстанции изменено, признано обоснованным и подлежащим включению в третью очередь реестра требований кредиторов должника требование банка в сумме 168 658 рублей 73 копеек (кредитный договор от 27.06.2011 № 5000/1506), в сумме 4 064 742 рублей 32 копеек - проценты за период 16.01.2014 по 30.09.2018 (кредитной договор от 30.08.2012 № 5000/1950), в удовлетворении требования в остальной части отказано. Арбитражный суд Уральского округа постановлением от 17 июля 2024 г. постановление суда апелляционной инстанции оставил без изменения. Гафарова А.Р. обратилась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части включения в реестр требований кредиторов должника задолженности по уплате процентов за пользование кредитом, суд апелляционной инстанции руководствовался положениями статьи 69 Арбитражного процессуального кодекса Российской Федерации, статьями 16, 71, 100 Федерального закона от 26 октября 2002 г. № 127-ФЗ «О несостоятельности (банкротстве)» и исходил из установленной вступившим в законную силу судебным актом суда общей юрисдикции спорной задолженности должника, на момент подачи кредитором требования в рамках настоящего дела срок предъявления исполнительного листа к исполнению по нему не истек, судебный акт до настоящего времени не пересмотрен. Суд округа поддержал выводы суда апелляционной инстанции. 3 Доводы кассационной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