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ноября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(банкротстве) Тумгоева Х.А. в Арбитражный суд Республики Ингушетия обратилась государственная корпорация по атомной энергии «Росатом» с заявлением о включении в реестр требований кредиторов должника задолженности в размере 138 382 942 рублей 50 копеек, заявлено ходатайство о восстановлении срока на подачу требования к должнику. Определением Арбитражного суда Республики Ингушетия от 18 января 2024 г. ходатайство о восстановлении срока удовлетворено, требование признано обоснованным и включено в третью очередь реестра требований кредиторов должника. Постановлением Шестнадцатого арбитражного апелляционного суда от 29 марта 2024 г. определение суда первой инстанции оставлено без изменения. Арбитражный суд Северо-Кавказского округа постановлением от 15 августа 2024 г. указанные судебные акты оставил без изменения. Тумгоев Х.А. обратился в Судебную коллегию Верховного Суда Российской Федерации с кассационной жалобой на принятые по спору судебные акты, ссылаясь на существенные нарушения норм права. 2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 не установлено. Удовлетворяя заявление о включении требования в реестр требований кредиторов должника, суды руководствовались положениями статей 71, 100, 213.9, 213.24 Федерального закона от 26 октября 2002 г. № 127-ФЗ «О несостоятельности (банкротстве)», пунктом 24 постановления Пленума Верховного Суда Российской Федерации от 13 октября 2015 г. № 45 «О некоторых вопросах, связанных с введением в действие процедур, применяемых в делах о несостоятельности (банкротстве) граждан» и исходили из того, что вступившим в законную силу приговором суда установлен факт хищения должником денежных средств в спорной сумме, потерпевшим признан кредитор. Доводы, изложенные в кассационной жалобе, выводы судов не опровергают, не подтверждают существенных нарушений норм материального права и норм процессуального права, повлиявших на исход дела, и не являются достаточным основанием для пересмотра судебных актов в кассационном порядке.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