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территориальное управление Федерального агентства по управлению государственным имуществом в Московской области обратилось в Арбитражный суд Московской области с иском к АО КБ «Интерпромбанк» о признании отсутствующим у банка права залога (ипотеки) на земельный участок. К участию в деле в качестве третьих лиц, не заявляющих самостоятельных требований относительно предмета спора, привлечены Генеральная прокуратура Российской Федерации, Управление Росреестра по Московской области, Золотарев В.В., финансовый управляющий имуществом Золотарева В.В. - Есюнин Д.В., Васин В.С., финансовый управляющий имуществом Васина В.С. - Чурилова М.Д. Решением Арбитражного суда Московской области от 28 декабря 2023 г. в удовлетворении иска отказано. 2 Постановлением Десятого арбитражного апелляционного суда от 20 марта 2024 г. решение суда первой инстанции оставлено без изменения. Арбитражный суд Московского округа постановлением от 26 июля 2024 г. указанные судебные акты оставил без изменения. ТУ Росимущества в Московской области и Генеральная прокуратура Российской Федерации обратились в Судебную коллегию Верховного Суда Российской Федерации с кассационными жалобами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Разрешая спор, суды руководствовались положениями статей 235, 352, 353 Гражданского кодекса Российской Федерации, статьями 25, 26, 38 Федерального закона от 16 июля 1998 г. № 102-ФЗ «Об ипотеке (залоге недвижимости)» и исходили из того, что изъятие у залогодателя имущества в доход государства не исключает применение к данному имуществу положений статьи 41 Закона об ипотеке о сохранении залога при конфискации (обращении в собственность государства) заложенного имущества, недобросовестность залогодержателя при принятии объектов недвижимости в залог не установлена. Доводы, изложенные в кассационных жалобах,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