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25 апреля 2024 года, оставленным без изменения постановлением Двенадцатого арбитражного апелляционного суда от 14 июня 2024 года и постановлением Арбитражного суда Поволжского округа от 29 августа 2024 года, процедура реализации имущества ФИО1 завершена с неприменением правил об освобождении должника от дальнейшего исполнения обязательств перед кредиторами. ФИО1 обратился в Судебную коллегию по экономическим спорам Верховного Суда Российской Федерации с кассационной жалобой на принятые судебные акты в части неприменения правил об освобождении должника от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 октября 2002 года № 127-ФЗ «О несостоятельности (банкротстве)», разъяснениями, изложенными в постановлении Пленума Верховного Суда Российской Федерации от 13 октября 2015 года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"Фонд" (подробнее) ДНТ "Волжский берег" (подробнее) ООО "Альянс-Стил" (подробнее) ООО "ГАЗПРОМ МЕЖРЕГИОНГАЗ САРАТОВ" (подробнее) ООО МЕТАЛЛИСТ (подробнее) ООО НБК (подробнее) ООО "производственное объединение "Металлист" (подробнее) ПАО Банк "ФК Открытие"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