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7 ноября 2024 г. обратился в Верховный Суд Российской Федерации с жалобой на определение судьи Верховного Суда Российской Федерации от 2 октября 2024 г. № 305-ЭС24-16292, решение Арбитражного суда города Москвы от 23 августа 2023 г., постановление Девятого арбитражного апелляционного суда от 16 декабря 2023 г. и постановление Арбитражного суда Московского округа от 3 июня 2024 г. по делу № А40-80144/2023,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 октября 2024 г.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Компании Richemont International SA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Истцы: Компания Richemont International SA (Ришмон Интернасьональ СА) (подробнее) Ответчики: Федеральная таможенная служба (подробнее) Центральная Акцизная таможня (подробнее) Судьи дела: Антонова М.К. (судья) (подробнее) Последние документы по делу: Определение от 13 ноября 2024 г. по делу № А40-80144/2023 Определение от 5 сентября 2024 г. по делу № А40-80144/2023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