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Панферовой Марины Николаевны в Арбитражный суд города Москвы обратился Панферов И.В. с заявлением о включении в реестр требований кредиторов должника задолженности в размере 1 887 699 рублей 91 копейки, обеспеченной залогом имущества должника. Определением Арбитражного суда города Москвы от 4 марта 2024 года, оставленным без изменения постановлением Девятого арбитражного апелляционного суда от 13 мая 2024 года и постановлением Арбитражного суда Московского округа от 23 августа 2024 года, в удовлетворении заявления отказано. Панферов И.В.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71, 100, 142 Федерального закона от 26 октября 2002 года № 127-ФЗ «О несостоятельности (банкротстве)», суды пришли к выводу о том, что у заявителя не возникло денежного требования к должнику на основании пункта 7.3 договора, следовательно, не возникло и права обеспечения этого требования посредством удержания (залога) объекта, указав также, что заявителем не были представлены доказательства несения затрат на строительство.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