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умершего ФИО2 в Арбитражный суд города Москвы обратился финансовый управляющий ФИО1 с заявлением о признании недействительными сделок по отчуждению должником в пользу ФИО3 (сына) и ФИО4 (матери) долей в квартирах и применении последствий недействительности сделок. Определением Арбитражного суда города Москвы от 27 февраля 2024 года заявление удовлетворено, признаны недействительными сделки по отчуждению по договорам дарения долей в квартирах и применены последствия недействительности сделок в виде возвращения в конкурсную массу должника отчужденного имущества. Постановлением Девятого арбитражного апелляционного суда от 6 мая 2024 года определение суда первой инстанции оставлено без изменения. Арбитражный суд Московского округа постановлением от 8 августа 2024 года указанные судебные акты отменил и направил спор на новое рассмотрение в Арбитражный суд города Москвы. Финансовый управляющий ФИО1 обратился в Судебную коллегию по экономическим спорам Верховного Суда Российской Федерации с кассационной жалобой на постановление окружного суда,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разрешения спора, а также полного и всестороннего исследования и оценки представленных доказательств, с учетом доводов и возражений лиц, участвующих в споре, окружной суд действовал в пределах полномочий, предусмотренных статьями 287 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Публично-правовая компания "Роскадастр"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