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Омской области обратилась должник с заявлением об исключении из конкурсной массы земельного участка. Определением Арбитражного суда Омской области от 24 января 2024 года, оставленным без изменения постановлением Восьмого арбитражного апелляционного суда от 26 апреля 2024 года и постановлением Арбитражного суда Западно-Сибирского округа от 23 июля 2024 года, в удовлетворении заявления отказано.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213.25 Федерального закона от 26 октября 2002 года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 декабря 2018 года № 48 «О некоторых вопросах, связанных с особенностями формирования и распределения конкурсной массы в делах о банкротстве граждан», и исходили из того, что спорное имущество не относится к имуществу, на которое распространяется исполнительский иммунитет.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Инспекция Гостехнадзора Омской области (подробнее) Межрайонная инспекция Федеральной налоговой службы №7 по Омской области (подробнее) Межрайонный отдел технического надзора и регистрации автомототранспортных средств ГИБДД УМВД России по Омской области (подробнее) Подразделение по вопросам миграции УМВД России по Омской области (подробнее) Управление Федеральной службы государственной регистрации, кадастра и картографии по Омской области (подробнее) Филиал ФБГУ "ФКП Росреестра" по Омской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