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Шаганова В.В. в Арбитражный суд города Санкт-Петербурга и Ленинградской области обратился Волков М.И. с заявлением о включении в реестр требований кредиторов должника задолженности в размере 650 000 рублей. Определением Арбитражного суда города Санкт-Петербурга и Ленинградской области от 7 декабря 2023 года в удовлетворении заявления отказано. Постановлением Тринадцатого арбитражного апелляционного суда от 15 апреля 2024 года определение суда первой инстанции отменено, требование Волкова М.И. признано обоснованным и включено в третью очередь реестра требований кредиторов должника. Арбитражный суд Северо-Западного округа постановлением от 23 июля 2024 года постановление суда апелляционной инстанции оставил без изменения. Шаганов В.В.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71, 100, 142 Федерального закона от 26 октября 2002 года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апелляционной инстанции пришел к выводам о реальности заемных отношений между должником и кредитором, обоснованности заявленного требования, подтвержденного надлежащими доказательствами и наличии оснований для включения задолженности в реестр требований кредиторов должника. Суд округа поддержал выводы суда апелляционной инстанции. Доводы кассационной жалобы не свидетельствуют о наличии существенных нарушений норм материального права и (или) процессуального права и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