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«Аламо Коллект» обратилось в Арбитражный суд Самарской области с заявлением о признании Чатяна С.А. несостоятельным (банкротом) с размером требования в сумме 10 132 323 рублей 70 копеек. Определением Арбитражного суда Самарской области от 11 января 2024 года заявление признано обоснованным, в отношении Чатяна С.А. введена процедура реструктуризации долгов, требование общества в размере 10 132 323 рублей 70 копеек, в том числе 1 120 548 рублей 46 копеек основного дола, 633 882 рублей 64 копеек процентов, 8 368 174 рублей 39 копеек пени, 9 718 рублей 21 копейки расходов по уплате государственной пошлины, включены в третью очередь реестра требований кредиторов должника. Постановлением Одиннадцатого арбитражного апелляционного суда от 16 апреля 2024 года определение суда первой инстанции в части включенного в реестр требований кредиторов должника размера требования общества отменено; требование общества включено в реестр требований кредиторов должника в составе третьей очереди в размере 2 861 289 рублей 25 копеек, в том числе 1 120 548 рублей 46 копеек основного долга, 2 633 882 рублей 64 копеек процентов, 1 097 139 рублей 94 копеек пени, 9 718 рублей 21 копейки расходов по уплате государственной пошлины. Арбитражный суд Московского округа постановлением от 6 августа 2024 года оставил без изменения постановление суда апелляционной инстанции. Чатян С.А. обратился в Судебную коллегию Верховного Суда Российской Федерации с кассационной жалобой на принятые судебные акты в части включенных в реестр требований кредиторов должника сумм неустойки и процентов,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Включая требование общества в реестр требований кредиторов должника в заявленном размере, суд первой инстанции пришел к выводу о том, что задолженность подтверждена вступившим в законную силу судебным актом. Изменяя определение суда первой инстанции и снижая размер пени по уплате процентов и основного долга, апелляционный суд указал, что рассчитанный кредитором размер неустойки не соответствует принципу компенсационного характера санкций, несоразмерен последствиям нарушения обязательства, в связи с чем снизил размер неустойки до 0,1% в день, применив положения статьи 333 Гражданского кодекса Российской Федерации. При этом суд пришел к выводу о неприменении положений части 21 статьи 5 Федерального закона от 21 декабря 2013 года № 353-ФЗ «О потребительском кредите (займе)», поскольку кредитный договор заключен 24.04.2014. Окружной суд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