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Цветкова А.И. в Арбитражный суд города Санкт-Петербурга и Ленинградской области обратилась Федеральная налоговая служба в лице Межрайонной инспекции ФНС России № 11 по Ленинградской области с заявлением о включении в реестр требований кредиторов должника задолженности по уплате транспортного и земельного налогов в размере 192 947 рублей 39 копеек. Определением Арбитражного суда города Санкт-Петербурга и Ленинградской области от 20 ноября 2023 года, оставленным без изменения постановлением Тринадцатого арбитражного апелляционного суда от 9 февраля 2024 года и постановлением Арбитражного суда Северо-Западного округа от 17 мая 2024 года, требование ФНС России признано обоснованным и подлежащим включению в третью очередь реестра требований кредиторов должника. Цветков А.И. обратился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71, 100, 142 Федерального закона от 26 октября 2002 года № 127-ФЗ «О несостоятельности (банкротстве)», статьями 46 и 47 Налогового кодекса Российской Федерации и, признав не утраченной возможность принудительного взыскания спорной задолженности к моменту введения первой процедуры банкротства, сделали вывод об обоснованности требования налогового органа, подлежащего включению в третью очередь реестра требований кредиторов должника.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