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для юридических лиц подлежит уплате в размере 80 000 рублей. Статьей 102 Арбитражного процессуального кодекса Российской Федерации предусмотрено, что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Обратившись с ходатайством об отсрочке уплаты государственной пошлины, заявитель представил сведения АО «Газпромбанк» от 29.10.2024, в соответствии с которыми на счетах имеются денежные средства, достаточные для уплаты государственной пошлины (на счете № 40702810600000063309 – 995 028 рублей 87 копеек; на счете № 40702810800000122927 – 4 658 587 рублей 99 копеек).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Поскольку заявителем не соблюдены требования к подаче кассационной жалобы, установленные пунктом 2 части 5 статьи 291.3 Арбитражного процессуального кодекса Российской Федерации, ходатайство о восстановлении пропущенного процессуального срока подачи жалобы рассмотрению не подлежит. Руководствуясь статьями 102 , 184 , 291.3 , 291.5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ООО «Трубостройинжиниринг»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 Суд: Верховный Суд РФ (подробнее) Истцы: ООО "Трубостройинжиниринг", с.Высокая Гора (подробнее) Ответчики: ООО "Группа Компаний "Сокол", г.Казань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