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для юридических лиц подлежит уплате в размере 80 000 рублей. Статьей 102 Арбитражного процессуального кодекса Российской Федерации предусмотрено, что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2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Представленные заявителем справки банков об остатках на счетах денежных средств по состоянию на 24.10.2024 и 31.10.2024 не являются надлежащими доказательствами, свидетельствующими о его имущественном положении, поскольку отсутствие или недостаточность денежных средств на расчетном счете юридического лица по состоянию на конкретную дату является временным и не подтверждает того обстоятельства, что имущественное положение заинтересованной стороны не позволяет ей уплатить государственную пошлину в установленном размере при подаче жалобы.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ООО «Строй-Комплекс СПб»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