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«Биолитек» обратилось в Арбитражный суд города Москвы с иском о взыскании с публичного акционерного общества «Группа Ренессанс страхование» и общества с ограниченной ответственностью «Деловые Линии» 1 807 751 рубля 99 копеек ущерба, причиненного повреждением груза. Решением Арбитражного суда города Москвы от 05 декабря 2023 г., оставленным без изменения постановлением Девятого арбитражного апелляционного суда от 13 марта 2024 г. и постановлением Арбитражного суда Московского округа от 13 августа 2024 г., иск удовлетворен. ООО «Деловые Линии»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наступление ответственности экспедитора за повреждение груза, принятого к перевозке, суды руководствовались положениями статей 15, 393, 801 Гражданского кодекса Российской Федерации, статьей 7 Федерального закона от 30 июня 2003 г. № 87-ФЗ «О транспортно-экспедиционной деятельности», правовыми позициями, изложенными в постановлении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Доводы кассационной жалобы не свидетельствуют о допущенных судами существенных нарушениях норм материального права и норм процессуального права, приведших к судебной ошибке существенного и непреодолимого характера.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