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Поляковой Камиллы Александровны в Арбитражный суд города Москвы обратился арбитражный управляющий Сапегин А.Е. с заявлением об установлении размера процентов по вознаграждению финансового управляющего. Определением Арбитражного суда города Москвы от 4 марта 2024 года, оставленным без изменения постановлением Девятого арбитражного апелляционного суда от 26 апреля 2024 года и постановлением Арбитражного суда Московского округа от 17 июля 2024 года, заявление удовлетворено, установлены проценты по вознаграждению финансового управляющего в размере 787 892 рублей. Лесников Н.В.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и устанавливая проценты по вознаграждению, суды руководствовались положениями статей 20.3, 20.6, 213.9 Федерального закона от 26 октября 2002 года № 127-ФЗ «О несостоятельности (банкротстве)», разъяснениями, содержащимися в постановлении Пленума Высшего Арбитражного Суда Российской Федерации от 25 декабря 2013 года № 97 «О некоторых вопросах, связанных с вознаграждением арбитражного управляющего при банкротстве».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