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13.06.2019, оставленным без изменения постановлениями судов апелляционной инстанции от 12.09.2019 и округа от 27.11.2019, заявление удовлетворено.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статьи 60 Федерального закона от 26.10.2002 № 127-ФЗ «О несостоятельности (банкротстве)», статьи 45 Семейного кодекса Российской Федерации и исходили из того, что полученные от кредиторов денежные средства были направлены на нужды семьи, в связи с чем спорные долги являются общими обязательствами супругов.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Некоммерческое партнерство "Саморегулируемая организация арбитражных управляющих "Альянс" (подробнее) ООО "Аверс-Инвест" (подробнее) ООО "Веал" (подробнее) ООО "Югория" (подробнее) ПАО Банк "Финансовая Корпорация Открытие" (подробнее) ПАО "Промсвязьбанк" (подробнее) Иные лица: НП "Саморегулируемая организация арбитражных управляющих "Альянс" (подробнее) НП "СОАУ "Альянс" (подробнее) ООО ЦЮЗ "Крыловы и партнеры" (подробнее) Судьи дела: Букина И.А. (судья) (подробнее) Последние документы по делу: Определение от 15 декабря 2022 г. по делу № А60-3496/2016 Определение от 10 марта 2020 г. по делу № А60-3496/2016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