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Большакова Д.Н. в Арбитражный суд города Москвы обратился должник с заявлением об исключении из конкурсной массы денежных средств в размере 11 268 426 рублей. Определением Арбитражного суда города Москвы от 31 октября 2023 года из конкурсной массы исключены 10 141 427 рублей 10 копеек, подлежащие выплате должнику; в удовлетворении заявления в остальной части отказано. Постановлением Девятого арбитражного апелляционного суда от 25 декабря 2023 года определение суда первой инстанции изменено, из конкурсной массы исключены 10 982 911 рублей 20 копеек; в удовлетворении заявления в остальной части отказано. Арбитражный суд Московского округа постановлением от 2 августа 2024 года постановление суда апелляционной инстанции отменил и оставил в силе определение суда первой инстанции. 2 Большаков Д.Н. и финансовый управляющий его имуществом Дронов О.В.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Должник не согласен с судебными актами в части выплаты финансовому управляющему процентного вознаграждения, финансовый управляющий – в части выплаты денежных средств должнику.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разногласия, суд первой инстанций руководствовался статьями 60, 138, 213.27 Федерального закона от 26 октября 2002 года № 127-ФЗ «О несостоятельности (банкротстве)», статьей 446 Гражданского процессуального кодекса Российской Федерации, положениями Федерального закона от 16 июля 1998 года № 102-ФЗ «Об ипотеке (залоге недвижимости)», разъяснениями, содержащимися в постановлении Пленума Верховного Суда Российской Федерации от 25 декабря 2018 года № 48 «О некоторых вопросах, связанных с особенностями формирования и распределения конкурсной массы в делах о банкротстве граждан», и исходил из того, что денежные средства, полученные от реализации единственного жилья должника, являвшегося предметом ипотеки, после выплаты залоговому кредитору, погашения расходов по процедуре банкротства должника и организации торгов по продаже имущества, а также после выплаты процентного вознаграждения финансовому управляющему подлежат направлению должнику на приобретение иного жилья, учитывая распространение исполнительского иммунитета на эти денежные средства. Окружной суд поддержал выводы суда первой инстанции.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Выводы судов 3 соответствуют правовой позиции Конституционного Суда Российской Федерации, изложенной в постановлении от 4 июня 2024 года № 28-П.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