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 февраля 2011 г. № 12 «О некоторых вопросах применения Арбитражного процессуального кодекса Российской Федерации в редакции Федерального закона от 27 июля 2010 г.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Першутова А.Г. следует произвести его замену, а кассационные жалобы – передать другим судьям. На основании изложенного, руководствуясь статьями 18, 184 2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Першутова А.Г. и передать возбужденные по жалобам следующие кассационные производства: судье Якимову А.А. № 309-ЭС24-19566 (дело № А60-30299/2023) № 305-ЭС24-19496 (дело № А40-279960/2023) № 304-ЭС23-5410 (дело № А70-1807/2019) судье Антоновой М.К. № 307-ЭС24-19577 (дело № А56-67362/2023) № 309-ЭС24-19724 (дело № А60-41407/2023) судье Завьяловой Т.В. № 309-ЭС24-19621 (дело № А50-8569/2023) № 303-ЭС24-19484 (дело № А51-14258/2023) судье Прониной М.В. № 308-ЭС24-19547 (дело № А32-39922/2022) судье Тютину Д.В. № 309-ЭС24-19701 (дело № А60-2499/2024) № 310-ЭС24-19726 (дело № А84-8836/2022) Председатель 3 судебного состава А.А. Якимов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