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индивидуального предпринимателя Багяна Георгия Валерьевича в Арбитражный суд Ростовской области обратилась Балковская Д.Г. с заявлением, уточненным в порядке статьи 49 Арбитражного процессуального кодекса Российской Федерации, о признании незаконными действий финансового управляющего Гвоздковой Н.В., выразившихся в неверном распределении денежных средств кредиторам должника, взыскании с финансового управляющего 266 982 рублей 32 копеек убытков и 23 335 рублей расходов по оплате государственной пошлины. Определением Арбитражного суда Ростовской области от 27 февраля 2024 г. в удовлетворении ходатайства финансового управляющего о прекращении производства по заявлению отказано; признаны незаконными действия финансового управляющего, выразившиеся в неверном распределении денежных средств кредиторам должника; с финансового 2 управляющего в пользу Балковской Д.Г. взыскано 266 982 рубля 32 копейки убытков; в удовлетворении заявления в остальной части отказано. Постановлением Пятнадцатого арбитражного апелляционного суда от 29 мая 2024 г. определение суда первой инстанции отменено в части взыскания с финансового управляющего убытков; в удовлетворении заявления в указанной части отказано; в остальной части определение суда первой инстанции оставлено без изменения. Арбитражный суд Северо-Кавказского округа постановлением от 9 августа 2024 г. постановление суда апелляционной инстанции оставил без изменения. Финансовый управляющий Гвоздкова Н.В. обратилась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Признавая жалобу обоснованной, суды, руководствовались положениями статей 20.3, 20.4, 60, 213.27 Федерального закона от 26 октября 2002 г. № 127-ФЗ «О несостоятельности (банкротстве)» и исходили из того, что при недостаточной стоимости имущества для покрытия требований кредиторов финансовому управляющему следовало предполагать, что поступившие в конкурсную массу денежные средства потребуются, в том числе, для погашения текущих платежей. При этом судами установлено, что к началу распределения денежных средств среди кредиторов третьей очереди финансовому управляющему было известно о наличии в отношении должника исполнительных производств. Отказывая в удовлетворении требования о взыскании убытков, суд апелляционной инстанции исходил из добровольного погашения финансовым управляющим предъявленных к взысканию убытков. Суд округа поддержал выводы суда апелляционной инстанции. 3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