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Медведева Сергея Юрьевича в Арбитражный суд Тюменской области поступило гражданское дело для рассмотрения по подсудности по уточненному заявлению Черепанова В.А. о признании за ним права на получение денежных средств путем применения пункта 2 статьи 167 Гражданского кодекса Российской Федерации в отношении недействительного договора мены, при рассмотрении которого последним заявлено о передаче дела в Ишимский городской суд Тюменской области. Определением Арбитражного суда Тюменской области от 28 июня 2024 года, оставленным без изменения постановлением Восьмого арбитражного апелляционного суда от 24 июля 2024 года, в передаче обособленного спора по подсудности отказано. Черепанов В.А.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заявленные требования (о применении последствий недействительной сделки) связаны с оспоренным по основаниям пункта 2 статьи 61.2 Федерального закона от 26 октября 2002 года № 127-ФЗ «О несостоятельности (банкротстве)» в рамках дела о банкротстве должника договором мены от 24.11.2016, суды указали на рассмотрение спора арбитражным судом в деле о банкротстве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