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Пискаленко Мунзифы Бизяновны в Арбитражный суд Пермского края обратился Опарин С.В. с жалобой на действия (бездействие) финансового управляющего Марчевской И.В., выразившиеся в неисполнении обязанности по своевременному проведению анализа сделок должника и принятию мер по выявлению признаков преднамеренного банкротства, несвоевременном исполнении обязанности по истребованию документов для проверки финансового состояния должника. Определением Арбитражного суда Пермского края от 20 декабря 2023 года, оставленным без изменения постановлением Семнадцатого арбитражного апелляционного суда от 7 марта 2024 года и постановлением Арбитражного суда Уральского округа от 27 мая 2024 года, в удовлетворении жалобы отказано. ИП Опарин С.В.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и признавая жалобу необоснованной, суды, руководствуясь статьями 20.3, 20.4, 60, 213.9, 213.25 Федерального закона от 26 октября 2002 г. № 127-ФЗ «О несостоятельности (банкротстве)», исходили из отсутствия установленных обстоятельств несоответствия и противоречия действий (бездействия) управляющего требованиям действующего законодательства и нарушения прав и законных интересов должника и кредиторов. Доводы, изложенные в кассационной жалобе,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