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Дубеня Светланы Владимировны в Арбитражный суд Ростовской области обратилось ПАО «Сбербанк России» с заявлением о включении в реестр требований кредиторов должника задолженности, обеспеченной залогом имущества должника (квартиры). Определением Арбитражного суда Ростовской области от 20 марта 2024 года утверждено локальное мировое соглашение, заключенное между банком, должником, Дубеня К.Р. и Дубеня Р.А., в целях урегулирования задолженности должника перед залоговым кредитором в отношении единственного жилья. Арбитражный суд Северо-Кавказского округа постановлением от 9 июля 2024 года оставил без изменения определение суда первой инстанции. Спасибов М.Г.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Установив отсутствие просрочки по кредитному договору, исполнение обязательств по которому обеспечено залогом единственного жилья для должника и членов его семьи, а также наличие третьих лиц, готовых исполнять обязательства по кредитному договору, суд первой инстанции утвердил мировое соглашение, указав при этом, что наличие (отсутствие) такого жилья в конкурсной массе обусловлено исключительно волеизъявлением залогодержателя и не зависит от иных кредиторов, объема их требований. Суд округа согласился с выводами суда первой инстанции.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