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Арбитражным судом города Москвы рассмотрены объединенные споры: по заявлению должника об исключении из конкурсной массы имущества - квартиры, расположенной по адресу: &lt;...&gt; и заявлению финансового управляющего об утверждении Положения о порядке, условиях и сроках реализации имущества должника - спорной квартиры. Определением Арбитражного суда города Москвы от 12 февраля 2024 г. в удовлетворении ходатайств о вызове эксперта и назначении повторной экспертизы отказано; в удовлетворении заявления должника об исключении из конкурсной массы квартиры отказано; утверждено Положение № 1 (новая редакция) о порядке, сроках и об условиях продажи имущества должника в редакции финансового управляющего. Постановлением Девятого арбитражного апелляционного суда от 18 апреля 2024 г. определение суда первой инстанции оставлено без изменения. Арбитражный суд Московского округа постановлением от 8 августа 2024 г.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 единственное жилое помещение должника роскошным жильем, суды отказали должнику в применении абсолютного исполнительского иммунитета на спорный объект недвижимости. Утверждая условия реализации имущества должника и порядок предоставления замещающего жилья, суды руководствовались статьями 213.25, 213.26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Федерации, правовыми позициями Конституционного Суда Российской Федерации, изложенными в постановлениях от 14 мая 2012 г. № 11-П «По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ФИО2 и ФИО3», от 26 апреля 2021 г. № 15-П «По делу о проверке конституционности положений абзаца второго части первой статьи 446 Гражданского процессуального кодекса Российской Федерации и пункта 3 статьи 213.25 Федерального закона «О несостоятельности (банкротстве)» в связи с жалобой гражданина ФИО4», учли заключение судебной экспертизы и пришли к выводу, что представленный финансовым управляющим проект Положения № 1 (новая редакция) предусматривает приобретение должнику и членам его семьи замещающего жилья, соответствует положениям статей 110 , 111 , 112 , 139 Закона о банкротстве, не нарушает прав и законных интересов лиц, участвующих в деле, обеспечивает баланс интересов должника и кредиторов. Доводы кассационной жалобы были предметом рассмотрения судов и мотивированно отклонены,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АНО "НСЭЦ "Финэка" (подробнее) АНО "Центр производства судебных экспертиз" (подробнее) АО "Консул" (подробнее) А/у Кузнецов Дмитрий Николаевич (подробнее) ООО "БЮРО ПРАВОВОЙ ПОМОЩИ АКЦЕНТ" (подробнее) СРО "ГАУ" (подробнее) Иные лица: ООО КДЛ "ОН КЛИНИК ГЕОКОНИК" (подробнее) Ф/У Кузнецов Д.Н.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