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Штырлина Михаила Андреевича в Арбитражный суд города Москвы обратился финансовый управляющий с заявлением о признании недействительным корпоративного соглашения от 03.03.2020, заключенного между АО «Золотое Поле» и должником, и применении последствий недействительности сделки. Определением Арбитражного суда города Москвы от 22 февраля 2024 г., оставленным без изменения постановлением Девятого арбитражного апелляционного суда от 20 мая 2024 г. и постановлением Арбитражного суда Московского округа от 15 августа 2024 г., в удовлетворении заявления отказано. Карлов И.С.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суды, руководствуясь положениями статьи 69 Арбитражного процессуального кодекса Российской Федерации, статьями 166, 168 Гражданского кодекса Российской Федерации, учитывая выводы суда по делу № А83-6484/2019 о том, что оспариваемое соглашение не имеет юридического значения, поскольку не соответствует требованиям статьи 67.2 Гражданского кодекса Российской Федерации, пришли к выводу, что данное соглашение не является сделкой, влекущей возникновение, изменение или прекращение прав и обязанностей сторон, в связи с чем основания для признания спорного соглашения недействительным в гражданско-правовом смысле отсутствуют. Доводов кассационной жалобы,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