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Садардинова Р.Г. в Арбитражный суд города Москвы обратился Чернобыльский Л.А. с заявлением о включении требования в размере 22 341 840 рублей в третью очередь реестра требований кредиторов должника, как обеспеченного залогом имущества - квартирой, заявлено ходатайство о восстановлении срока на подачу требования к должнику. Определением Арбитражного суда города Москвы от 29 февраля 2024 г. ходатайство о восстановлении срока удовлетворено, восстановлен срок на предъявление требования; требование в размере 22 341 840 рублей признано обоснованным и включено в третью очередь реестра требований кредиторов должника, как обеспеченное залогом имущества должника. Постановлением Девятого арбитражного апелляционного суда от 24 мая 2024 г. определение суда первой инстанции оставлено без изменения. Арбитражный суд Московского округа постановлением от 21 августа 2024 г. указанные судебные акты оставил без изменения. Садардинов Р.Г. обратился в Судебную коллегию Верховного Суда Российской Федерации с кассационной жалобой на принятые по спору судебные акты в части восстановления пропущенного срока на подачу требования,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статей 71, 100, 142, 213.9, 213.24 Федерального закона от 26 октября 2002 г. № 127-ФЗ «О несостоятельности (банкротстве)», пунктом 24 постановления Пленума Верховного Суда Российской Федерации от 13 октября 2015 г. № 45 «О некоторых вопросах, связанных с введением в действие процедур, применяемых в делах о несостоятельности (банкротстве) граждан» и, установив фактические обстоятельства дела, признали уважительными причины, по которым Чернобыльский Л.А. пропустил срок предъявления его требования с целью включения в реестр требований кредиторов должника.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