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Нерсесяна Нерсеса Степановича в Арбитражный суд города Москвы поступило заявление супруги должника Машевской Валентины Анатольевны о признании недействительными торгов по продаже квартиры. Определением Арбитражного суда города Москвы от 01 марта 2024 г. в удовлетворении заявления отказано. Постановлением Девятого арбитражного апелляционного суда от 29 мая 2024 г. определение суда первой инстанции оставлено без изменения. Арбитражный суд Московского округа постановлением от 20 августа 2024 г. указанные судебные акты отменил и направил обособленный спор на новое рассмотрение в Арбитражный суд города Москвы. АКБ «Держава» ПАО и Абакаров Ш.Г. обратились в Судебную коллегию по экономическим спорам Верховного Суда Российской Федерации с кассационными жалобами на постановление суда округа,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 не установлено. Отменяя принятые по спору судебные акты и направляя дело на новое рассмотрение в суд первой инстанции с целью установления обстоятельств, имеющих значение для правильного разрешения спора, суд кассационной инстанции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