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Марий Эл обратился ФИО1 с заявлением, уточненным в порядке статьи 49 Арбитражного процессуального кодекса Российской Федерации, о признании незаконным бездействия финансового управляющего имуществом должника ФИО3, выразившегося в невключении в конкурсную массу должника нежилых построек (бани, сарая и теплицы), и обязании финансового управляющего включить спорные постройки в конкурсную массу должника. Определением Арбитражного суда Республики Марий Эл от 05 марта 2024 г., оставленным без изменения постановлением Первого арбитражного апелляционного суда от 20 мая 2024 г. и постановлением Арбитражного суда Волго-Вятского округа от 28 августа 2024 г., в удовлетворении заявления отказано.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20.3, 60, 213.9, 213.25 Федерального закона от 26 октября 2002 г. № 127-ФЗ «О несостоятельности (банкротстве)», статьей 135 Гражданского кодекса Российской Федерации, статьей 446 Гражданского процессуального кодекса Российской Федерации и, установив, что спорные нежилые постройки отнесены к сооружениям хозяйственно-бытового назначения, находятся на одном земельном участке с частью жилого дома, являющегося единственным жильем должника и членов его семьи, составляют единое домовладение и имеют общий режим правового регулирования, в связи с чем обоснованно исключены из конкурсной массы финансовым управляющим самостоятельно, пришли к выводу, что финансовым управляющим противоправного бездействия в отношении формирования конкурсной массы не допущено.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КБ Ренессанс Кредит (подробнее) Иные лица: Ассоциация СРО ЦААУ (подробнее) УФРС ПО РМЭ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