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Седовой Ирины Леонидовны в Арбитражный суд города Москвы поступило заявление ООО «Московская инвестиционная группа» о включении требования в размере 9 880 000 рублей в реестр требований кредиторов должника. Определением Арбитражного суда г. Москвы от 27 августа 2021 г., оставленным без изменения постановлением Девятого арбитражного апелляционного суда от 24.05.2024, признано обоснованным и включено в третью очередь реестра требований кредиторов должника требование ООО «Московская инвестиционная группа», как обеспеченное залогом имущества должника. Арбитражный суд Московского округа постановлением от 8 августа 2024 г. указанные судебные акты отменил и направил обособленный спор на новое рассмотрение в Девятый арбитражный апелляционный суд. ООО «Московская инвестиционная группа»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спор на новое рассмотрение в суд апелляционной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