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Мещанова Сергея Викторовича в Арбитражный суд города Москвы обратилась ГК «АСВ» с заявлением о включении в реестр требований кредиторов должника задолженности в размере 1 400 000 рублей. Определением Арбитражного суда города Москвы от 19 февраля 2024 года, оставленным без изменения постановлением Девятого арбитражного апелляционного суда от 6 мая 2024 года и постановлением Арбитражного суда Московского округа от 24 июля 2024 года, в удовлетворении заявления отказано. ГК «АСВ»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16, 32, 71, 100 Федерального закона от 26 октября 2002 года № 127-ФЗ «О несостоятельности (банкротстве)», статьями 195, 196, 199, 200, 1102 Гражданского кодекса Российской Федерации, разъяснениями, данными в постановлении Пленума Верховного Суда Российской Федерации от 29 сентября 2015 года № 43 «О некоторых вопросах, связанных с применением норм Гражданского кодекса Российской Федерации об исковой давности», правовыми позициями, изложенными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утвержденном Президиумом Верховного Суда Российской Федерации 29 января 2020 года, и пришли к выводу о пропуске заявителем срока исковой давности, об истечении которой заявлено должником и финансовым управляющим имуществом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