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Метельского Андрея Николаевича в Арбитражный суд города Москвы обратилось ООО «Манор» с заявлением о включении в реестр требований кредиторов должника задолженности в размере 847 044 941 рубля. Определением Арбитражного суда города Москвы от 26 июня 2023 года, оставленным без изменения постановлением Девятого арбитражного апелляционного суда от 05 сентября 2023 года, в удовлетворении заявления отказано. Постановлением Арбитражного суда Московского округа от 12 декабря 2023 года указанные судебные акты отменены, обособленный спор направлен на новое рассмотрение в Арбитражный суд города Москвы. Определением Арбитражного суда города Москвы от 21 февраля 2024 года, оставленным без изменения постановлением Девятого арбитражного апелляционного суда от 28 мая 2024 года и постановлением Арбитражного суда Московского округа от 16 августа 2024 года, в удовлетворении заявления отказано. ООО «Манор» обратилось в Судебную коллегию Верховного Суда Российской Федерации с кассационной жалобой и дополнением к ней на принятые по спору судебные акты, ссылаясь на существенные нарушения норм права.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 и дополнения к ней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71, 100, 142 Федерального закона от 26 октября 2002 года № 127-ФЗ «О несостоятельности (банкротстве)», статьями 807, 808 Гражданского кодекса Российской Федерации, пунктом 26 постановления Пленума Высшего Арбитражного Суда Российской Федерации от 22 июня 2012 года № 35 «О некоторых процессуальных вопросах, связанных с рассмотрением дел о банкротстве», суды пришли к выводу о нереальности заемных отношений между должником и аффилированным кредитором ввиду отсутствия бесспорных доказательств, подтверждающих происхождение денежных средств, установив, что перемещение денежных средств осуществлялось внутри одной группы лиц, платежи носили транзитный характер.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и дополнения к ней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