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обратилось в Арбитражный суд города Москвы с иском о взыскании с ООО «Новая вагоноремонтная компания» 1 052 563 руб. 09 коп. К участию в деле в качестве третьего лица, не заявляющего самостоятельных требований относительно предмета спора, привлечено ООО «Каменское». Решением Арбитражного суда города Москвы от 15 декабря 2023 г., оставленным без изменения постановлением Девятого арбитражного апелляционного суда от 14 марта 2024 г. и постановлением Арбитражного суда Московского округа от 8 июля 2024 г., в удовлетворении иска отказано. ОАО «РЖД»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исходили из конкретных установленных фактических обстоятельств дела и руководствовались положениями статей 307 , 309 , 310 , 330 , 784 , 785 , 793 Гражданского кодекса Российской Федерации, статьями 25, 27, 98, 102 Федерального закона от 10 января 2003 г. № 18-ФЗ «Устав железнодорожного транспорта Российской Федерации».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(подробнее) ООО "Новая вагоноремонтная компания" (подробнее) Ответчики: ООО "Новая вагоноремонтная компания"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