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25 марта 2024 г. процедура реализации имущества ФИО1 завершена, в отношении должника применены положения об освобождении от исполнения обязательств. Постановлением Девятого арбитражного апелляционного суда от 29 мая 2024 г. определение суда первой инстанции оставлено без изменения. Арбитражный суд Московского округа постановлением от 30 августа 2024 г. указанные судебные акты оставил без изменения. АО «Тинькофф Банк»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исполнения обязательств, ссылаясь на существенные нарушения норм права. Финансовым управляющим ФИО2 представлен отзыв на кассационную жалобу, в котором управляющий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на жалобу, не установлено. Разрешая спор в обжалуемой части, суды руководствовались положениями статьи 213.28 Федерального закона от 26 октября 2002 г. № 127-ФЗ «О несостоятельности (банкротстве)», разъяснениями, изложенными в пунктах 45 и 46 постановления Пленума Верховного Суда Российской Федерации от 13 октября 2015 г.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Альфа - Банк (подробнее) АО "Тинькофф Банк" (подробнее) МИФНС России №51 по г. Москве (подробнее) ООО "ПРОФЕССИОНАЛЬНАЯ КОЛЛЕКТОРСКАЯ ОРГАНИЗАЦИЯ ТРАСТ" (подробнее) ПАО "Сбербанк России" (подробнее) Иные лица: АССОЦИАЦИЯ "НАЦИОНАЛЬНАЯ ОРГАНИЗАЦИЯ АРБИТРАЖНЫХ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