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«Микрокредитная компания Деньги на максимум» обратилось в Арбитражный суд Рязанской области с иском к ИП Орлову Э.В. о взыскании 1 281 693 рублей 26 копеек задолженности по договору процентного займа, обеспеченного залогом движимого имущества. Решением Арбитражного суда Рязанской области от 22 мая 2023 года иск удовлетворен. Предприниматель обратился в арбитражный апелляционный суд с жалобой на решение суда первой инстанции. Определением Двадцатого арбитражного апелляционного суда от 28 ноября 2023 года жалоба возвращена заявителю на основании пункта 5 части 1 статьи 264 Арбитражного процессуального кодекса Российской Федерации, в связи с неустранением обстоятельств, послуживших основанием для оставления жалобы без движения, в срок, установленный в определении суда. ИП Орлов Э.В. вновь обратился в Двадцатый арбитражный апелляционный суд с жалобой на решение суда первой инстанции и ходатайством о восстановлении срока ее подачи. 2 Определением Двадцатого арбитражного апелляционного суда от 17 мая 2024 года производство по апелляционной жалобе прекращено в связи с отказом в восстановлении срока на ее подачу. Арбитражный суд Центрального округа постановлением от 7 августа 2024 года определение суда апелляционной инстанции оставил без изменения. ИП Орлов Э.В.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259, 264 Арбитражного процессуального кодекса Российской Федерации, оценил приведенные причины пропуска срока и пришел к выводу о том, что они не являются уважительными, что послужило основанием для прекращения производства по жалобе применительно к пункту 1 части 1 статьи 150 Арбитражного процессуального кодекса Российской Федерации. Окружной суд согласился с выводом суда апелляционной инстанции об отсутствии оснований для восстановления пропущенного срока.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