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«Фарго» обратилось в Арбитражный суд города Москвы с иском к ООО «МГЛ Метро Груп Логистикс» о расторжении соглашения от 01.09.2020, взыскании 5 976 192 рублей штрафа и 3 136 600 рублей убытков. Решением Арбитражного суда города Москвы от 22 ноября 2023 г., оставленным без изменения постановлением Девятого арбитражного апелляционного суда от 22 февраля 2024 г. и постановлением Арбитражного суда Московского округа от 02 июля 2024 г., в удовлетворении иска отказано. ООО «Фарго»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 в соответствии с положениями статьи 431 Гражданского кодекса Российской Федерации, руководствуясь статьями 15, 393, 793, 794 Гражданского кодекса Российской Федерации, положениями статьи 35 Федерального закона от 8 ноября 2007 г. № 259-ФЗ «Устав автомобильного транспорта и городского наземного электрического транспорта», установив, что условие о минимальном объеме заявок сторонами не согласовано, договор не содержит ответственности для исполнителя за отклонение заявки на перевозку, срок действия соглашения истек, признав недоказанным наличие совокупности обстоятельств, необходимой для привлечения ответчика к гражданско-правовой ответственности в виде возмещения убытков, суды пришли к выводу об отсутствии оснований для удовлетворения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