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Молярчук Светланы Владимировны в Арбитражный суд Красноярского края обратился финансовый управляющий с ходатайством о завершении процедуры реализации имущества должника и освобождении должника от исполнения обязательств. Кредиторами заявлены ходатайства о неприменении в отношении должника правила об освобождении от исполнения обязательств. Определением Арбитражного суда Красноярского края от 29 января 2024 г. процедура реализации имущества должника завершена, в удовлетворении ходатайств о неприменении в отношении должника правила об освобождении от обязательств отказано. Постановлением Третьего арбитражного апелляционного суда от 23 апреля 2024 г. определение суда первой инстанции оставлено без изменения. Арбитражный суд Восточно-Сибирского округа постановлением от 24 июля 2024 г. указанные судебные акты оставил без изменения. Родионов В.М. и Петухов С.А. обратились в Судебную коллегию Верховного Суда Российской Федерации с кассационными жалобами на принятые по делу судебные акты в части применения к должнику правила об освобождении от исполнения обязательств,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кредиторами, не установив признаков преднамеренного и фиктивного банкротства. Доводы кассационных жалоб,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