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Подгоренко С.В. в Арбитражный суд города Москвы обратился должник с заявлением о разрешении разногласий с финансовым управляющим по вопросу выделения денежных средств на оплату алиментов. Определением Арбитражного суда города Москвы от 26 декабря 2023 года, оставленным без изменения постановлением Девятого арбитражного апелляционного суда от 3 апреля 2024 года и постановлением Арбитражного суда Московского округа от 20 июня 2024 года, в удовлетворении заявления отказано. Подгоренко С.В.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должника, суды руководствовались положениями статей 213.25, 213.27, 213.28 Федерального закона от 26 октября 2002 года № 127-ФЗ «О несостоятельности (банкротстве)» и, установив, что должник за период всей процедуры банкротства (с 2019 по 2024 годы) не был трудоустроен, в конкурсную массу за время проведения процедуры банкротства денежные средства от трудовой деятельности должника не поступили, Подгоренко Ю.С. не обращалась к финансовому управляющему с заявлением о включении требования об уплате алиментов в реестр требований кредиторов должника, сделали вывод об отсутствии оснований для удержания денежных средств из конкурсной массы должника на уплату алиментов.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