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29 августа 2022 г. Томас А.А. признан несостоятельным (банкротом), в отношении него введена процедура реализации имущества. Томас А.А. обратился в Арбитражный суд Волгоградской области с ходатайством о прекращении производства по делу о несостоятельности (банкротстве) в связи с погашением задолженности в полном объеме. Определением Арбитражного суда Волгоградской области от 23 ноября 2023 г. в удовлетворении заявления отказано. Постановлением Двенадцатого арбитражного апелляционного суда от 25 марта 2024 г. определение суда первой инстанции оставлено без изменения. Арбитражный суд Поволжского округа постановлением от 10 июля 2024 г. указанные судебные акты оставил без изменения. Томас А.А.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суды руководствовались положениями статьи 57 Федерального закона от 26 октября 2002 г. № 127-ФЗ «О несостоятельности (банкротстве)» и исходили из того, что задолженность перед налоговым органом, включенная в реестр требований кредиторов должника, основанная на вступившем в законную силу решении суда общей юрисдикции, не погашена, доказательств возмещения должником ущерба или отмены судебных актов, на основании которых требования уполномоченного органа включены в реестр, не представлено.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