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обратились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Генеральной прокуратуры Российской Федерации и Прокуратуры Московской области удовлетворить. Восстановить срок подачи кассационной жалобы на решение Арбитражного суда Московской области от 28 декабря 2023 года по делу № А41-65796/2022, постановление Десятого арбитражного апелляционного суда от 20 марта 2024 года и постановление Арбитражного суда Московского округа от 26 июля 2024 года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