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«Юнико Лоджистикс Рус» обратилось в Арбитражный суд города Москвы с иском к компании SULZGITTER AG о взыскании 73 500 долларов США убытков. Решением Арбитражного суда города Москвы от 17 января 2024 года, оставленным без изменения постановлением Девятого арбитражного апелляционного суда от 28 марта 2024 года и постановлением Арбитражного суда Московского округа от 8 июля 2024 года, иск удовлетворен. Компания SULZGITTER AG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истец уплатил денежные средства в связи с необходимостью оплаты штрафа судовладельцу ввиду отмены бронирования судна по вине ответчика и в отсутствие вины экспедитора, руководствуясь статьями 15, 393, 801, 803 Гражданского кодекса Российской Федерации, положениями Федерального закона от 30 июня 2003 года № 87-ФЗ «О транспортно-экспедиционной деятельности», разъяснениями, изложенными в постановлении Пленума Верховного Суда Российской Федерации от 23 июня 2015 года № 25 «О применении судами некоторых положений раздела 1 части первой Гражданского кодекса Российской Федерации», суды пришли к выводу о доказанности заявленного требования.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