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жалобы, в том числе со ссылкой на судебную практику,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направлении дела на новое рассмотрение судом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Обжалуемое постановление принято в пределах полномочий арбитражного суда кассационной инстанции, определенных в статьях 286 – 288 Арбитражного процессуального кодекса Российской Федерации. Поскольку дело направлено на новое рассмотрение в суд первой инстанции, изложенные в жалобе доводы по имеющим значение для правильного разрешения обстоятельствам дела, в том числе относительно объекта, оказывающего негативное воздействие на окружающую среду, могут быть заявлены в суде первой инстанции, в полномочия которого входят оценка доказательств и установление фактических обстоятельств дела.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«Воловский бройлер»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Ю.Г. Иваненко Суд: Верховный Суд РФ (подробнее) Истцы: ООО "Воловский бройлер" (подробнее) Ответчики: ПРИОКСКОЕ МЕЖРЕГИОНАЛЬНОЕ УПРАВЛЕНИЕ ФЕДЕРАЛЬНОЙ СЛУЖБЫ ПО НАДЗОРУ В СФЕРЕ ПРИРОДОПОЛЬЗОВАНИЯ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