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Основания освобождения от уплаты государственной пошлины, а также льготы при обращении в арбитражные суды установлены в статьях 33335, 33337 Налогового кодекса Российской Федерации. Заявитель, исходя из предмета настоящего спора и доводов, изложенных в ходатайстве, не относится к категории лиц, которые освобождены от уплаты государственной пошлины в соответствии с налоговым законодательством, в связи с чем основания для удовлетворения ходатайства заявителя об освобождении от уплаты государственной пошлины отсутствуют. Кроме того,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При этом заявителем не представлены все необходимые документы, свидетельствующие о невозможности уплатить государственную пошлину.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«КТН-Транс» в удовлетворении ходатайства об освобождении от уплаты государственной пошлины. Кассационную жалобу на решение Арбитражного суда города Москвы от 6 февраля 2024 г., постановление Девятого арбитражного апелляционного суда от 27 апреля 2024 г. и постановление Арбитражного суда Московского округа от 19 августа 2024 г. по делу № А40-167232/2023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