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Астрахань</w:t>
      </w:r>
    </w:p>
    <w:p>
      <w:pPr>
        <w:spacing w:after="200"/>
        <w:jc w:val="center"/>
      </w:pPr>
      <w:r>
        <w:rPr>
          <w:rFonts w:ascii="Times New Roman" w:hAnsi="Times New Roman" w:eastAsia="Times New Roman" w:cs="Times New Roman"/>
          <w:b w:val="0"/>
          <w:i w:val="0"/>
          <w:sz w:val="22"/>
        </w:rPr>
        <w:t>18 октября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ВЕРХОВНЫЙ СУД РОССИЙСКОЙ ФЕДЕРАЦИИ № 306-ЭС24-16573 ОПРЕДЕЛЕНИ Е г. Москва 18 октября 2024 г. Судья Верховного Суда Российской Федерации Антонова М.К., рассмотрев ходатайство финансово-казначейского управления администрации муниципального образования «Городской округ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управление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Поволжского округа от 24 мая 2024 г.,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2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финансово-казначейского управления администрации муниципального образования «Городской округ город Астрахань»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