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11 октября 2024 г. обратился в Верховный Суд Российской Федерации с жалобой на определение судьи Верховного Суда Российской Федерации от 16 сентября 2024 г. № 307-ЭС24-14786, решение Арбитражного суда Тверской области от 2 октября 2023 г., постановление Четырнадцатого арбитражного апелляционного суда от 25 декабря 2023 г. и постановление Арбитражного суда Северо-Западного округа от 31 мая 2024 г. по делу № А66-233/2023,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«Тверская генерация»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Истцы: ООО "Тверская генерация" (подробнее) Ответчики: Тверская область в лице Министерство Финансов Тверской области (подробнее) Судьи дела: Антонова М.К. (судья) (подробнее) Последние документы по делу: Определение от 17 октября 2024 г. по делу № А66-233/2023 Определение от 25 сентября 2024 г. по делу № А66-233/2023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