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кассационных жалоб не подтверждают наличие оснований, предусмотренных статьями 2916, 29111 Арбитражного процессуального кодекса Российской Федерации, для передачи жалоб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обществам с ограниченной ответственностью «Сибирьинвест» и «ПромАнтикорИнвест» в передаче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