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города Москвы обратился финансовый управляющий с ходатайством об утверждении Положения о порядке, об условиях и о сроках реализации имущества должника. Определением Арбитражного суда города Москвы от 26.05.2023, оставленным без изменения постановлением Девятого арбитражного апелляционного суда от 08.08.2023, утверждено Положение о порядке, об условиях и о сроках реализации имущества должника в редакции финансового управляющего. ФИО1 обратился в окружной суд с кассационной жалобой, заявив ходатайство о восстановлении пропущенного процессуального срока на обжалование. Определением Арбитражного суда Московского округа от 09.01.2024 кассационная жалоба возвращена заявителю на основании пункта 2 части 1 статьи 281 Арбитражного процессуального кодекса Российской Федерации в связи с отказом в восстановлении пропущенного срока ее подачи. Арбитражный суд Московского округа определением от 02.05.2024 определение суда округа оставил без изменения. ФИО1 обратился в Судебную коллегию Верховного Суда Российской Федерации с кассационной жалобой на определения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ходатайства о восстановлении пропущенного срока подачи кассационной жалобы, суд кассационной инстанции руководствовался положениями статей 117 , 123 , 276 , 281 Арбитражного процессуального кодекса Российской Федерации, оценил приведенные причины пропуска срока и пришел к выводу о том, что они не являются уважительными, учитывая дату истечения процессуального срока на обжалование постановления суда апелляционной инстанции. Окружной суд согласился с выводом суда об отсутствии оснований для восстановления пропущенного срока в связи с непредставлением доказательств того, что заявитель, действуя разумно и добросовестно, столкнулся с обстоятельствами, препятствовавшими своевременному направлению жалобы.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ИФНС России №20 по г.Москве (подробнее) ПАО "Сбербанк России" (подробнее) ФУ Сафиуллина Р.Р. (подробнее) Иные лица: Ф/у Подольский К.И. (подробнее) Судьи дела: Зарубина Е.Н. (судья) (подробнее) Последние документы по делу: Определение от 8 октября 2024 г. по делу № А40-161292/2017 Определение от 25 июля 2024 г. по делу № А40-161292/2017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