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Челябинской области обратился финансовый управляющий с ходатайством о завершении процедуры реализации имущества должника. АО «Тинькофф Банк» заявило ходатайство о неприменении в отношении должника правила об освобождении от исполнения обязательств. Определением Арбитражного суда Челябинской области от 16 февраля 2024 г. процедура реализации имущества должника завершена,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 должника. Постановлением Восемнадцатого арбитражного апелляционного суда от 2 мая 2024 г. определение суда первой инстанции в обжалуемой части оставлено без изменения. Арбитражный суд Уральского округа постановлением от 6 августа 2024 г.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по делу судебные акты в части освобождения должника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ГКУ АМПП (подробнее) Межрайонная инспекция Федеральной налоговой службы №17 по Челябинской области (подробнее) ПАО "МТС-Банк" (подробнее) ПАО "Сбербанк России"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