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2 октября 2024 г. обратился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3 мая 2024 г., срок на обжалование которого истек 03 июля 2024 г. Обратившись с кассационной жалобой 2 октября 2024 г., заявитель пропустил установленный законодательством срок на ее подачу.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устранение недостатков, послуживших основанием для возврата первоначально поданных кассационных жалоб, а также технический сбой электронного сервиса подачи документов.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Департамент был извещен о судебном разбирательстве в суде первой инстанции, являлся инициатором апелляционного и кассационного обжалования. С полным текстом последнего обжалуемого судебного акта - постановления Арбитражного суда Московского округа от 3 мая 2024 г. заявитель мог ознакомиться 4 мая 2024 г.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департамент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Первоначально поданная департаментом кассационная жалоба возвращена заявителю без рассмотрения по существу на основании пункта 3 части 1 статьи 2915 АПК РФ, поскольку подана по истечении срока, установленного частью 1 статьи 2912 АПК РФ, и не содержала ходатайство о его восстановлении. Впоследствии заявителю возвращено ходатайство о восстановлении срока на обжалуемые судебные акты без рассмотрения по существу, поскольку ходатайство должно быть подано в процессе и в рамках соответствующего производства по делу (кассационная жалоба к ходатайству не приложена). 3 Нарушение порядка подачи первоначальной кассационной жалобы и последующее устранение (спустя три месяца после возвращения первоначальной жалобы)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Документов, подтверждающих надлежащее направление кассационной жалобы в предусмотренный законодательством срок, департаментом не представлено.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образования и науки города Москвы в удовлетворении ходатайства о восстановлении пропущенного процессуального срока. Кассационную жалобу на решение Арбитражного суда города Москвы от 14 ноября 2023 г., постановление Девятого арбитражного апелляционного суда от 8 февраля 2024 г. и постановление Арбитражного суда Московского округа от 3 мая 2024 г. по делу № А40-195943/2023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